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908" w:rsidRDefault="005B1908" w:rsidP="00C82BA3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Annex III</w:t>
      </w:r>
    </w:p>
    <w:p w:rsidR="00C82BA3" w:rsidRDefault="00C82BA3" w:rsidP="00C82BA3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 w:rsidRPr="00DF66CC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S.35.01 - Contribution to group Technical Provisions</w:t>
      </w:r>
    </w:p>
    <w:p w:rsidR="00950409" w:rsidRPr="00DF66CC" w:rsidRDefault="00950409" w:rsidP="00C82BA3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General comments:</w:t>
      </w:r>
    </w:p>
    <w:p w:rsidR="00186C6C" w:rsidRPr="00A754AE" w:rsidRDefault="00186C6C" w:rsidP="00186C6C">
      <w:pPr>
        <w:jc w:val="both"/>
        <w:rPr>
          <w:rFonts w:ascii="Times New Roman" w:hAnsi="Times New Roman" w:cs="Times New Roman"/>
          <w:sz w:val="20"/>
          <w:szCs w:val="20"/>
        </w:rPr>
      </w:pPr>
      <w:r w:rsidRPr="008B28ED">
        <w:rPr>
          <w:rFonts w:ascii="Times New Roman" w:hAnsi="Times New Roman" w:cs="Times New Roman"/>
          <w:sz w:val="20"/>
          <w:szCs w:val="20"/>
        </w:rPr>
        <w:t xml:space="preserve">This Annex contains additional instructions in relation to the templates included in Annex I of this Regulation. The first column of the next table identifies the items to be reported by identifying the columns and lines as showed </w:t>
      </w:r>
      <w:r w:rsidRPr="00A754AE">
        <w:rPr>
          <w:rFonts w:ascii="Times New Roman" w:hAnsi="Times New Roman" w:cs="Times New Roman"/>
          <w:sz w:val="20"/>
          <w:szCs w:val="20"/>
        </w:rPr>
        <w:t>in the template in Annex I.</w:t>
      </w:r>
    </w:p>
    <w:p w:rsidR="00186C6C" w:rsidRPr="00340E57" w:rsidRDefault="00186C6C" w:rsidP="00186C6C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40E57">
        <w:rPr>
          <w:rFonts w:ascii="Times New Roman" w:hAnsi="Times New Roman" w:cs="Times New Roman"/>
          <w:sz w:val="20"/>
          <w:szCs w:val="20"/>
          <w:lang w:val="en-US"/>
        </w:rPr>
        <w:t>This annex relates to annual submission of information for groups.</w:t>
      </w:r>
    </w:p>
    <w:p w:rsidR="009E148B" w:rsidRPr="008607BC" w:rsidRDefault="009E148B" w:rsidP="009E148B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8607BC">
        <w:rPr>
          <w:rFonts w:ascii="Times New Roman" w:hAnsi="Times New Roman" w:cs="Times New Roman"/>
          <w:sz w:val="20"/>
          <w:szCs w:val="20"/>
          <w:lang w:val="en-US"/>
        </w:rPr>
        <w:t xml:space="preserve">The information to be reported between </w:t>
      </w:r>
      <w:r w:rsidR="00A754AE" w:rsidRPr="008607BC">
        <w:rPr>
          <w:rFonts w:ascii="Times New Roman" w:hAnsi="Times New Roman" w:cs="Times New Roman"/>
          <w:sz w:val="20"/>
          <w:szCs w:val="20"/>
          <w:lang w:val="en-US"/>
        </w:rPr>
        <w:t>C</w:t>
      </w:r>
      <w:r w:rsidR="00A81B0A" w:rsidRPr="008607BC">
        <w:rPr>
          <w:rFonts w:ascii="Times New Roman" w:hAnsi="Times New Roman" w:cs="Times New Roman"/>
          <w:sz w:val="20"/>
          <w:szCs w:val="20"/>
          <w:lang w:val="en-US"/>
        </w:rPr>
        <w:t>0050 to C0210</w:t>
      </w:r>
      <w:r w:rsidRPr="00340E5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607BC">
        <w:rPr>
          <w:rFonts w:ascii="Times New Roman" w:hAnsi="Times New Roman" w:cs="Times New Roman"/>
          <w:sz w:val="20"/>
          <w:szCs w:val="20"/>
          <w:lang w:val="en-US"/>
        </w:rPr>
        <w:t>shall be after the volatility adjustment, the matching adjustment</w:t>
      </w:r>
      <w:r w:rsidR="005B1908" w:rsidRPr="00340E57">
        <w:rPr>
          <w:rFonts w:ascii="Times New Roman" w:hAnsi="Times New Roman" w:cs="Times New Roman"/>
          <w:sz w:val="20"/>
          <w:szCs w:val="20"/>
          <w:lang w:val="en-US"/>
        </w:rPr>
        <w:t xml:space="preserve"> and</w:t>
      </w:r>
      <w:r w:rsidRPr="008607BC">
        <w:rPr>
          <w:rFonts w:ascii="Times New Roman" w:hAnsi="Times New Roman" w:cs="Times New Roman"/>
          <w:sz w:val="20"/>
          <w:szCs w:val="20"/>
          <w:lang w:val="en-US"/>
        </w:rPr>
        <w:t xml:space="preserve"> interest rate transitional is appli</w:t>
      </w:r>
      <w:r w:rsidR="00A754AE" w:rsidRPr="008607BC">
        <w:rPr>
          <w:rFonts w:ascii="Times New Roman" w:hAnsi="Times New Roman" w:cs="Times New Roman"/>
          <w:sz w:val="20"/>
          <w:szCs w:val="20"/>
          <w:lang w:val="en-US"/>
        </w:rPr>
        <w:t xml:space="preserve">ed. </w:t>
      </w:r>
      <w:r w:rsidR="005B1908" w:rsidRPr="00340E57">
        <w:rPr>
          <w:rFonts w:ascii="Times New Roman" w:hAnsi="Times New Roman" w:cs="Times New Roman"/>
          <w:sz w:val="20"/>
          <w:szCs w:val="20"/>
          <w:lang w:val="en-US"/>
        </w:rPr>
        <w:t>The transitional on technical provisions is reported separately in C0220 and C0230.</w:t>
      </w:r>
    </w:p>
    <w:p w:rsidR="00BE6DD3" w:rsidRDefault="00DF66CC" w:rsidP="00BE6DD3">
      <w:pPr>
        <w:rPr>
          <w:rFonts w:ascii="Calibri" w:hAnsi="Calibri" w:cs="Calibri"/>
          <w:color w:val="1F497D"/>
          <w:lang w:val="en-US"/>
        </w:rPr>
      </w:pPr>
      <w:r w:rsidRPr="00A754A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This template</w:t>
      </w:r>
      <w:r w:rsidRPr="00166FC8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is applicable under method 1 as defined in Article 230 of </w:t>
      </w:r>
      <w:r w:rsidR="000B0E41">
        <w:rPr>
          <w:rFonts w:ascii="Times New Roman" w:eastAsia="Times New Roman" w:hAnsi="Times New Roman" w:cs="Times New Roman"/>
          <w:sz w:val="20"/>
          <w:szCs w:val="20"/>
          <w:lang w:eastAsia="es-ES"/>
        </w:rPr>
        <w:t>Directive 2009/138/EC</w:t>
      </w:r>
      <w:r w:rsidRPr="00166FC8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, method 2 as defined in Article 233 of the </w:t>
      </w:r>
      <w:r w:rsidR="000B0E41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Directive 2009/138/EC </w:t>
      </w:r>
      <w:r w:rsidRPr="00166FC8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and a combination of methods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.</w:t>
      </w:r>
      <w:r w:rsidR="00BE6DD3" w:rsidRPr="00BE6DD3">
        <w:rPr>
          <w:rFonts w:ascii="Calibri" w:hAnsi="Calibri" w:cs="Calibri"/>
          <w:color w:val="1F497D"/>
          <w:lang w:val="en-US"/>
        </w:rPr>
        <w:t xml:space="preserve"> </w:t>
      </w:r>
    </w:p>
    <w:p w:rsidR="00DF66CC" w:rsidRPr="008607BC" w:rsidRDefault="00BE6DD3" w:rsidP="008607BC">
      <w:pPr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</w:pPr>
      <w:r w:rsidRPr="008607BC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Related insurance and reinsurance undertaking which are not subsidiaries are excluded from the scope of this template since they are assessed through the adjusted equity method.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6095"/>
      </w:tblGrid>
      <w:tr w:rsidR="00C82BA3" w:rsidRPr="006A3EC4" w:rsidTr="00DF66CC">
        <w:trPr>
          <w:trHeight w:val="2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BA3" w:rsidRPr="00DF66CC" w:rsidRDefault="00C82BA3" w:rsidP="00C8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BA3" w:rsidRPr="00DF66CC" w:rsidRDefault="003B0212" w:rsidP="00C8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ITEM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BA3" w:rsidRPr="00DF66CC" w:rsidRDefault="003B0212" w:rsidP="00C8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INSTRUCTIONS</w:t>
            </w:r>
          </w:p>
        </w:tc>
      </w:tr>
      <w:tr w:rsidR="00636C22" w:rsidRPr="006A3EC4" w:rsidTr="00DF66CC">
        <w:trPr>
          <w:trHeight w:val="70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C22" w:rsidRPr="00E71C36" w:rsidRDefault="00636C22" w:rsidP="00860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</w:t>
            </w:r>
            <w:r w:rsidRPr="00E71C3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C22" w:rsidRPr="00E71C36" w:rsidRDefault="00636C22" w:rsidP="00E71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71C3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Legal name of the undertaking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C22" w:rsidRPr="00E71C36" w:rsidRDefault="00636C22" w:rsidP="00E71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71C3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Legal name of each undertaking</w:t>
            </w:r>
          </w:p>
        </w:tc>
      </w:tr>
      <w:tr w:rsidR="00C82BA3" w:rsidRPr="006A3EC4" w:rsidTr="00DF66CC">
        <w:trPr>
          <w:trHeight w:val="366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82BA3" w:rsidRPr="00DF66CC" w:rsidRDefault="00636C22" w:rsidP="00860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C002</w:t>
            </w:r>
            <w:r w:rsidR="007201E1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82BA3" w:rsidRPr="00DF66CC" w:rsidRDefault="00636C22" w:rsidP="00AA1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636C2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Identification code of the undertaking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36C22" w:rsidRDefault="003B0212" w:rsidP="00636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Identification code</w:t>
            </w:r>
            <w:r w:rsidR="00C82BA3" w:rsidRPr="00DF66CC">
              <w:rPr>
                <w:rFonts w:ascii="Times New Roman" w:hAnsi="Times New Roman" w:cs="Times New Roman"/>
                <w:sz w:val="20"/>
                <w:szCs w:val="20"/>
              </w:rPr>
              <w:t xml:space="preserve"> by this order of priority</w:t>
            </w:r>
            <w:bookmarkStart w:id="0" w:name="_GoBack"/>
            <w:bookmarkEnd w:id="0"/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: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- Legal Entity Identifier (LEI); </w:t>
            </w:r>
          </w:p>
          <w:p w:rsidR="00636C22" w:rsidRDefault="003B0212" w:rsidP="00636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 Specific code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="00636C22"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Specific code: </w:t>
            </w:r>
            <w:r w:rsidR="00636C22"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For EEA insurance and reinsurance undertakings and other EEA regulated undertakings within the group: identification code used in the local market, attributed by the undertaking's competent supervisory authority</w:t>
            </w:r>
            <w:r w:rsidR="00636C2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;</w:t>
            </w:r>
          </w:p>
          <w:p w:rsidR="00C82BA3" w:rsidRPr="00DF66CC" w:rsidRDefault="00636C22" w:rsidP="00AA1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- For non-EEA undertakings and non-regulated undertakings within the group, identification code will be provided by the group. When allocating an identification code to each non-EEA or non-regulated undertaking,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group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comply with the following format in a consistent manner: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identification code of the parent undertaking +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ISO 3166-1 alpha-2 code of the country of the undertaking +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5 digits</w:t>
            </w:r>
          </w:p>
        </w:tc>
      </w:tr>
      <w:tr w:rsidR="00C82BA3" w:rsidRPr="006A3EC4" w:rsidTr="00DF66CC">
        <w:trPr>
          <w:trHeight w:val="11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2BA3" w:rsidRPr="00DF66CC" w:rsidRDefault="007201E1" w:rsidP="008607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</w:t>
            </w:r>
            <w:r w:rsidR="00401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</w:t>
            </w:r>
            <w:r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2BA3" w:rsidRPr="00DF66CC" w:rsidRDefault="003B0212" w:rsidP="002A7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Type of code</w:t>
            </w:r>
            <w:r w:rsidR="00C82BA3"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of the ID of the undertaking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2BA3" w:rsidRPr="00DF66CC" w:rsidRDefault="003B0212" w:rsidP="00720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Identification of the code used in </w:t>
            </w:r>
            <w:r w:rsidR="00C82BA3"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item “Identification code of the undertaking”</w:t>
            </w:r>
            <w:r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:</w:t>
            </w:r>
            <w:r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7201E1"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- LEI </w:t>
            </w:r>
            <w:r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7201E1"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2 </w:t>
            </w:r>
            <w:r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 Specific code</w:t>
            </w:r>
          </w:p>
        </w:tc>
      </w:tr>
      <w:tr w:rsidR="006B3A75" w:rsidRPr="006A3EC4" w:rsidTr="00CA5136">
        <w:trPr>
          <w:trHeight w:val="6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A75" w:rsidRPr="00DF66CC" w:rsidRDefault="006B3A75" w:rsidP="008607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A75" w:rsidRPr="00DF66CC" w:rsidRDefault="006B3A75" w:rsidP="00CA51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Method of group solvency calculation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A75" w:rsidRPr="00CA5136" w:rsidRDefault="006B3A75" w:rsidP="00CA51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hAnsi="Times New Roman" w:cs="Times New Roman"/>
                <w:sz w:val="20"/>
                <w:szCs w:val="20"/>
              </w:rPr>
              <w:t>Identify the method of the group calculation. The following closed list of options shall be used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: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1 - Method 1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2 - Method 2</w:t>
            </w:r>
          </w:p>
        </w:tc>
      </w:tr>
      <w:tr w:rsidR="006B3A75" w:rsidRPr="006A3EC4" w:rsidTr="008607BC">
        <w:trPr>
          <w:trHeight w:val="410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A75" w:rsidRPr="00043189" w:rsidRDefault="006B3A75" w:rsidP="008607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C0050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A75" w:rsidRPr="00043189" w:rsidRDefault="006B3A75" w:rsidP="003703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Total amount of TP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="007F1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EC669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Amount of TP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gross of IGT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109E" w:rsidRDefault="006B3A75" w:rsidP="003703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</w:t>
            </w:r>
            <w:r w:rsidR="007F1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otal amount of technical provisions gross of IGT. </w:t>
            </w:r>
          </w:p>
          <w:p w:rsidR="007F109E" w:rsidRPr="007F109E" w:rsidRDefault="007F109E" w:rsidP="003703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</w:t>
            </w:r>
            <w:r w:rsidR="006B3A75"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his item </w:t>
            </w:r>
            <w:r w:rsidR="006B3A75"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equals the sum of items C0070</w:t>
            </w:r>
            <w:r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r w:rsidR="006B3A75"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C0100</w:t>
            </w:r>
            <w:r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r w:rsidR="006B3A75"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</w:t>
            </w:r>
            <w:r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  <w:r w:rsidR="006B3A75"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130</w:t>
            </w:r>
            <w:r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r w:rsidR="006B3A75"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C0160</w:t>
            </w:r>
            <w:r w:rsidR="00C61430"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</w:t>
            </w:r>
            <w:r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6B3A75"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C0190</w:t>
            </w:r>
            <w:r w:rsidR="00C61430"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and C0220</w:t>
            </w:r>
            <w:r w:rsidR="006B3A75"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 except for (re)insurance undertakings situated in equivalent non-EEA countries</w:t>
            </w:r>
            <w:r w:rsidR="006B3A75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under method 2</w:t>
            </w:r>
            <w:r w:rsidRPr="007F1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  <w:p w:rsidR="006B3A75" w:rsidRPr="00043189" w:rsidRDefault="007F109E" w:rsidP="003703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F1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For (re)insurance undertakings situated in equivalent non-EEA countries under method 2 </w:t>
            </w:r>
            <w:r w:rsidR="006B3A75" w:rsidRPr="007F1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only item C0050 </w:t>
            </w:r>
            <w:r w:rsidRPr="007F1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is mandatory</w:t>
            </w:r>
            <w:r w:rsidR="006B3A75"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  <w:r w:rsidR="006B3A75"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</w:p>
          <w:p w:rsidR="006B3A75" w:rsidRPr="00043189" w:rsidRDefault="006B3A75" w:rsidP="003703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The cell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filled in with amounts gross of reinsurance and of IGT. </w:t>
            </w:r>
          </w:p>
          <w:p w:rsidR="00A754AE" w:rsidRDefault="006B3A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When method 1 as defined under Article 230 of Directive 2009/138/EC is used for the (re)insurance undertaking, the total amount of technical provisions in cell C0050 accounts for its contribution gross of reinsurance</w:t>
            </w:r>
            <w:r w:rsidR="007F109E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ceded within the group to the group technical provisions. </w:t>
            </w:r>
          </w:p>
          <w:p w:rsidR="006B3A75" w:rsidRPr="00043189" w:rsidRDefault="006B3A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When method 2 is used for the (re)insurance undertaking, the total amount of technical provisions in cell C0050 cannot be reconciled with the amount of group technical provisions in the group balance sheet.</w:t>
            </w:r>
          </w:p>
        </w:tc>
      </w:tr>
      <w:tr w:rsidR="007201E1" w:rsidRPr="006A3EC4" w:rsidTr="00DF66CC">
        <w:trPr>
          <w:trHeight w:val="11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1E1" w:rsidRPr="00DF66CC" w:rsidRDefault="007201E1" w:rsidP="008607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1E1" w:rsidRPr="00DF66CC" w:rsidRDefault="007201E1" w:rsidP="00DF66C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Total amount of TP</w:t>
            </w:r>
            <w:r w:rsidR="00E8088C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EC669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Amount of TP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net of IGT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109E" w:rsidRPr="00DF66CC" w:rsidRDefault="007F109E" w:rsidP="00DF66C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Total amount of technical provisions </w:t>
            </w:r>
            <w:r w:rsidR="00A81B0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net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of IGT.</w:t>
            </w:r>
          </w:p>
          <w:p w:rsidR="007F109E" w:rsidRPr="00DF66CC" w:rsidRDefault="007F109E" w:rsidP="00DF66CC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This item </w:t>
            </w:r>
            <w:r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equals the sum of items </w:t>
            </w:r>
            <w:r w:rsidR="00E8088C"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C0080</w:t>
            </w:r>
            <w:r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 C</w:t>
            </w:r>
            <w:r w:rsidR="00E8088C"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0110</w:t>
            </w:r>
            <w:r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r w:rsidR="00E8088C"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</w:t>
            </w:r>
            <w:r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  <w:r w:rsidR="00E8088C"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140</w:t>
            </w:r>
            <w:r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r w:rsidR="00E8088C"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C0170</w:t>
            </w:r>
            <w:r w:rsidR="00C61430"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</w:t>
            </w:r>
            <w:r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E8088C"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C0200</w:t>
            </w:r>
            <w:r w:rsidR="00C61430"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and C0230</w:t>
            </w:r>
            <w:r w:rsidR="007201E1" w:rsidRPr="00340E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except</w:t>
            </w:r>
            <w:r w:rsidR="007201E1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for (re)insurance undertakings situated in equivalent non-EEA countries under method 2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:rsidR="00490098" w:rsidRPr="00DF66CC" w:rsidRDefault="007F109E" w:rsidP="00DF66CC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For (re)insurance undertakings situated in equivalent non-EEA countries </w:t>
            </w:r>
            <w:r w:rsidR="00096F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and allowed to use the local rules</w:t>
            </w:r>
            <w:r w:rsidR="00096F8F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under method 2</w:t>
            </w:r>
            <w:r w:rsidR="00096F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r w:rsidR="007201E1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only item </w:t>
            </w:r>
            <w:r w:rsidR="00E8088C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C0060</w:t>
            </w:r>
            <w:r w:rsidR="007201E1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is mandatory</w:t>
            </w:r>
            <w:r w:rsidR="00096F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and this should be filled </w:t>
            </w:r>
            <w:r w:rsidR="00610E2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on the basis of</w:t>
            </w:r>
            <w:r w:rsidR="00096F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the local </w:t>
            </w:r>
            <w:r w:rsidR="006344C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solvency regime</w:t>
            </w:r>
            <w:r w:rsidR="007201E1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7201E1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</w:r>
          </w:p>
          <w:p w:rsidR="007201E1" w:rsidRPr="00DF66CC" w:rsidRDefault="007201E1" w:rsidP="00DF66CC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cell </w:t>
            </w:r>
            <w:r w:rsidR="00D110AB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shall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be filled in with amounts gross of reinsurance but net of IGT, including intra-group reinsurance</w:t>
            </w:r>
            <w:r w:rsidR="00CB74D0">
              <w:rPr>
                <w:rFonts w:ascii="Times New Roman" w:hAnsi="Times New Roman" w:cs="Times New Roman"/>
                <w:sz w:val="20"/>
                <w:szCs w:val="20"/>
              </w:rPr>
              <w:t xml:space="preserve"> (the risk margin should not be net of IGT).</w:t>
            </w:r>
          </w:p>
          <w:p w:rsidR="007F109E" w:rsidRPr="00DF66CC" w:rsidRDefault="007201E1" w:rsidP="00DF66CC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  <w:t>When method 1 as defined under Article 230 of Directive</w:t>
            </w:r>
            <w:r w:rsidR="00E8088C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2009/138/EC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is used for the (re)insurance undertaking, the total amount of technical provisions in cell </w:t>
            </w:r>
            <w:r w:rsidR="00E8088C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C0060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accounts for its contribution net of reinsurance ceded within the group to the group technical provisions. The total amount of technical provisions in cell </w:t>
            </w:r>
            <w:r w:rsidR="00E8088C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C0060 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 all (re)insurance undertakings under method 1 can be reconciled with the amount of group technical provisions in the group balance sheet</w:t>
            </w:r>
            <w:r w:rsidR="007F109E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:rsidR="007201E1" w:rsidRPr="00DF66CC" w:rsidRDefault="007201E1" w:rsidP="00DF66CC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  <w:t xml:space="preserve">When method 2 is used for the (re)insurance undertaking, the total amount of technical provisions in cell </w:t>
            </w:r>
            <w:r w:rsidR="007F109E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C0060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cannot be reconciled with the amount of group technical provisions in the group balance sheet.</w:t>
            </w:r>
          </w:p>
        </w:tc>
      </w:tr>
      <w:tr w:rsidR="00C82BA3" w:rsidRPr="006A3EC4" w:rsidTr="00DF66CC">
        <w:trPr>
          <w:trHeight w:val="20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BA3" w:rsidRPr="00DF66CC" w:rsidRDefault="003B0212" w:rsidP="00860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PT"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val="pt-PT" w:eastAsia="en-GB"/>
              </w:rPr>
              <w:t>C0070, C0100, C0130, C0160, C0190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BA3" w:rsidRPr="00DF66CC" w:rsidRDefault="00EC6694" w:rsidP="0033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Amount of TP </w:t>
            </w:r>
            <w:r w:rsidR="0033438F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gross of IGT</w:t>
            </w:r>
            <w:r w:rsidR="003B0212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D58" w:rsidRDefault="00AE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</w:t>
            </w:r>
            <w:r w:rsidR="003B0212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mount of technical provisions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(TP calculated as a whole or the sum of the best estimate and the risk margin), split by respective main categories (Life excluding health and unit linked index-linked, Unit-linked and index linked, Health – SLT and non-SLT, Non-life excluding health)</w:t>
            </w:r>
            <w:r w:rsidRPr="006A3EC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3B0212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of the EEA or non-EEA undertaking calculated according to Solvency II rules. </w:t>
            </w:r>
          </w:p>
          <w:p w:rsidR="00C82BA3" w:rsidRPr="00DF66CC" w:rsidRDefault="003B0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The cell </w:t>
            </w:r>
            <w:r w:rsidR="00D110A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filled in </w:t>
            </w:r>
            <w:r w:rsidR="0033438F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with amounts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gross </w:t>
            </w:r>
            <w:r w:rsidR="0033438F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of reinsurance and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of IGT.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The currency used </w:t>
            </w:r>
            <w:r w:rsidR="00D110A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the group currency.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This item is reported for the (re)insurance undertakings under method 1 and method 2, except for the (re)insurance undertakings under method 2 situated in equivalent non-EEA countries.</w:t>
            </w:r>
          </w:p>
        </w:tc>
      </w:tr>
      <w:tr w:rsidR="00C82BA3" w:rsidRPr="006A3EC4" w:rsidTr="00DF66CC">
        <w:trPr>
          <w:trHeight w:val="211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82BA3" w:rsidRPr="00DF66CC" w:rsidRDefault="007201E1" w:rsidP="00860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C008</w:t>
            </w:r>
            <w:r w:rsidR="003B0212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0, C01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  <w:r w:rsidR="003B0212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0, C01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40, C0170, C020</w:t>
            </w:r>
            <w:r w:rsidR="003B0212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82BA3" w:rsidRPr="00DF66CC" w:rsidRDefault="003B0212" w:rsidP="0033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Amount of TP</w:t>
            </w:r>
            <w:r w:rsidR="0033438F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net of IGT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E3D58" w:rsidRDefault="00AE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</w:t>
            </w:r>
            <w:r w:rsidR="003B0212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mount of technical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provisions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(TP calculated as a whole or the sum of the best estimate and the risk margin), split by respective main categories (Life excluding health and unit linked index-linked, Unit-linked and index linked, Health – SLT and non-SLT, Non-life excluding health) </w:t>
            </w:r>
            <w:r w:rsidR="003B0212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of the EEA or non-EEA undertaking calculated according to Solvency II rules. </w:t>
            </w:r>
          </w:p>
          <w:p w:rsidR="00AE3D58" w:rsidRDefault="003B0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The cell </w:t>
            </w:r>
            <w:r w:rsidR="00D110A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filled in </w:t>
            </w:r>
            <w:r w:rsidR="0033438F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with amounts gross of reinsurance but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net of IGT</w:t>
            </w:r>
            <w:r w:rsidR="0033438F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 including intra-group reinsurance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. </w:t>
            </w:r>
          </w:p>
          <w:p w:rsidR="00AE3D58" w:rsidRDefault="003B0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The currency used </w:t>
            </w:r>
            <w:r w:rsidR="00D110A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the group currency.</w:t>
            </w:r>
          </w:p>
          <w:p w:rsidR="00C82BA3" w:rsidRPr="00DF66CC" w:rsidRDefault="003B0212" w:rsidP="00860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This item is reported for the (re)insurance undertakings under method 1 and method 2, except for the (re)insurance undertakings under method 2 situated in equivalent non-EEA countries.</w:t>
            </w:r>
          </w:p>
        </w:tc>
      </w:tr>
      <w:tr w:rsidR="00C82BA3" w:rsidRPr="006A3EC4" w:rsidTr="001F19B2">
        <w:trPr>
          <w:trHeight w:val="166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82BA3" w:rsidRPr="00DF66CC" w:rsidRDefault="007201E1" w:rsidP="00860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PT"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val="pt-PT" w:eastAsia="en-GB"/>
              </w:rPr>
              <w:t>C0090, C0120, C0150, C0180, C0210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82BA3" w:rsidRPr="00DF66CC" w:rsidRDefault="003B0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Net Contribution to Group TP (%)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82BA3" w:rsidRPr="00DF66CC" w:rsidRDefault="003B0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percentage share of TP (TP calculated as a whole or the sum of the best estimate and the risk margin) of the (re) insurance undertaking to the group TP under method 1 net of IGT but gross of reinsurance ceded outside the group, split by respective main categories (Life excluding health and unit linked index-linked, Unit-linked and index linked, Health – SLT and non-SLT, Non-life excluding health)</w:t>
            </w:r>
            <w:r w:rsidR="00AE3D5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This item is not reported for undertakings under method 2.</w:t>
            </w:r>
          </w:p>
        </w:tc>
      </w:tr>
      <w:tr w:rsidR="00672DDC" w:rsidRPr="006A3EC4" w:rsidTr="00DF66CC">
        <w:trPr>
          <w:trHeight w:val="11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DC" w:rsidRPr="00DF66CC" w:rsidRDefault="004073BD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</w:t>
            </w:r>
            <w:r w:rsidR="00BD24C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DC" w:rsidRPr="00DF66CC" w:rsidRDefault="00672DDC" w:rsidP="0087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Transitional on TP</w:t>
            </w:r>
            <w:r w:rsidR="00BD24C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– </w:t>
            </w:r>
            <w:r w:rsidR="00EB5CF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Amount of TP </w:t>
            </w:r>
            <w:r w:rsidR="00BD24C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gross of IGT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7F94" w:rsidRPr="00DF66CC" w:rsidRDefault="00672DDC" w:rsidP="00672DD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Amount of the transitional on Technical Provisions.</w:t>
            </w:r>
            <w:r w:rsidR="00DB7F94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AE3D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This value is not included in the previous items.  </w:t>
            </w:r>
          </w:p>
          <w:p w:rsidR="00672DDC" w:rsidRPr="00DF66CC" w:rsidRDefault="00DB7F94" w:rsidP="00672DD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The cell </w:t>
            </w:r>
            <w:r w:rsidR="00D110A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filled in with amounts gross of reinsurance </w:t>
            </w:r>
            <w:r w:rsidR="00BD24C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and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IGT.</w:t>
            </w:r>
          </w:p>
          <w:p w:rsidR="00672DDC" w:rsidRPr="00DF66CC" w:rsidRDefault="00672DDC" w:rsidP="00672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value shall be reported as a negative value.</w:t>
            </w:r>
          </w:p>
        </w:tc>
      </w:tr>
      <w:tr w:rsidR="00BD24C3" w:rsidRPr="006A3EC4" w:rsidTr="001F19B2">
        <w:trPr>
          <w:trHeight w:val="167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4C3" w:rsidRPr="006A3EC4" w:rsidRDefault="00BD24C3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6A3EC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  <w:r w:rsidRPr="006A3EC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4C3" w:rsidRPr="006A3EC4" w:rsidRDefault="00BD24C3" w:rsidP="0087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6A3EC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Transitional on TP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– </w:t>
            </w:r>
            <w:r w:rsidR="00EB5CF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Amount of TP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net of IGT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24C3" w:rsidRPr="006A3EC4" w:rsidRDefault="00BD24C3" w:rsidP="00F8342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E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Amount of the transitional on Technical Provisions. </w:t>
            </w:r>
            <w:r w:rsidR="00AE3D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value is not included in the previous items.</w:t>
            </w:r>
          </w:p>
          <w:p w:rsidR="00BD24C3" w:rsidRPr="006A3EC4" w:rsidRDefault="00BD24C3" w:rsidP="00F8342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EC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The cell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6A3EC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filled in with amounts gross of reinsurance but net of IGT, including intra-group reinsurance.</w:t>
            </w:r>
          </w:p>
          <w:p w:rsidR="00BD24C3" w:rsidRPr="006A3EC4" w:rsidRDefault="00BD24C3" w:rsidP="00672DD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E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value shall be reported as a negative value.</w:t>
            </w:r>
          </w:p>
        </w:tc>
      </w:tr>
      <w:tr w:rsidR="00BD24C3" w:rsidRPr="006A3EC4" w:rsidTr="00DF66CC">
        <w:trPr>
          <w:trHeight w:val="11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4C3" w:rsidRPr="00DF66CC" w:rsidRDefault="00BD24C3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4C3" w:rsidRPr="00DF66CC" w:rsidRDefault="00BD24C3" w:rsidP="0087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LTG measures - TP subject to Transitional on RFR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– </w:t>
            </w:r>
            <w:r w:rsidR="00EB5CF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Amount of TP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gross of IGT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24C3" w:rsidRPr="00DF66CC" w:rsidRDefault="00BD24C3" w:rsidP="00DB7F9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Indicate the amount of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Total amount of TP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gross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of IGT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(C</w:t>
            </w:r>
            <w:r w:rsidR="00FC35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0050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subject to the transitional of the risk free rate.</w:t>
            </w:r>
          </w:p>
          <w:p w:rsidR="00BD24C3" w:rsidRPr="00DF66CC" w:rsidRDefault="00BD24C3" w:rsidP="00BD2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The cell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filled in with amounts gross of reinsurance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and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IGT.</w:t>
            </w:r>
          </w:p>
        </w:tc>
      </w:tr>
      <w:tr w:rsidR="00BD24C3" w:rsidRPr="006A3EC4" w:rsidTr="00DF66CC">
        <w:trPr>
          <w:trHeight w:val="11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4C3" w:rsidRPr="00DF66CC" w:rsidRDefault="00990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</w:t>
            </w:r>
            <w:r w:rsidR="00F07E6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4C3" w:rsidRPr="00DF66CC" w:rsidRDefault="00BD24C3" w:rsidP="0087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LTG measures - TP subject to VA</w:t>
            </w:r>
            <w:r w:rsidR="0099039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AE3D5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  <w:r w:rsidR="0099039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EB5CF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Amount of TP </w:t>
            </w:r>
            <w:r w:rsidR="0099039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gross of IGT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24C3" w:rsidRPr="00DF66CC" w:rsidRDefault="00BD24C3" w:rsidP="00672DD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Indicate the amount of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Total amount of TP </w:t>
            </w:r>
            <w:r w:rsidR="0099039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gross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of IGT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(C0</w:t>
            </w:r>
            <w:r w:rsidR="0099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050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subject to volatility adjustment.</w:t>
            </w:r>
          </w:p>
          <w:p w:rsidR="00BD24C3" w:rsidRPr="00DF66CC" w:rsidRDefault="00BD24C3" w:rsidP="0099039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The cell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filled in with amounts gross of reinsurance </w:t>
            </w:r>
            <w:r w:rsidR="0099039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and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IGT, including intra-group reinsurance.</w:t>
            </w:r>
          </w:p>
        </w:tc>
      </w:tr>
      <w:tr w:rsidR="00990392" w:rsidRPr="006A3EC4" w:rsidTr="00DF66CC">
        <w:trPr>
          <w:trHeight w:val="5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392" w:rsidRPr="00DF66CC" w:rsidRDefault="00827F53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</w:t>
            </w:r>
            <w:r w:rsidR="00F07E6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392" w:rsidRPr="00DF66CC" w:rsidRDefault="00990392" w:rsidP="008607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LTG measures - </w:t>
            </w:r>
            <w:r w:rsidRPr="00DF66CC">
              <w:rPr>
                <w:rFonts w:ascii="Times New Roman" w:hAnsi="Times New Roman" w:cs="Times New Roman"/>
                <w:sz w:val="20"/>
                <w:szCs w:val="20"/>
              </w:rPr>
              <w:t>TP subject to MA</w:t>
            </w:r>
            <w:r w:rsidR="00827F5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EB5CF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Amount of TP </w:t>
            </w:r>
            <w:r w:rsidR="00827F53">
              <w:rPr>
                <w:rFonts w:ascii="Times New Roman" w:hAnsi="Times New Roman" w:cs="Times New Roman"/>
                <w:sz w:val="20"/>
                <w:szCs w:val="20"/>
              </w:rPr>
              <w:t>gross of IGT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0392" w:rsidRPr="00DF66CC" w:rsidRDefault="00990392" w:rsidP="00EC08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Indicate the amount of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Total amount of TP </w:t>
            </w:r>
            <w:r w:rsidR="00827F5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gross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of IGT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(C0</w:t>
            </w:r>
            <w:r w:rsidR="00827F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050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subject to matching adjustment.</w:t>
            </w:r>
          </w:p>
          <w:p w:rsidR="00990392" w:rsidRPr="00DF66CC" w:rsidRDefault="00990392" w:rsidP="00827F5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The cell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filled in with amounts gross of reinsurance </w:t>
            </w:r>
            <w:r w:rsidR="00827F5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and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IGT, including intra-group reinsurance.</w:t>
            </w:r>
          </w:p>
        </w:tc>
      </w:tr>
    </w:tbl>
    <w:p w:rsidR="00BB7862" w:rsidRDefault="00BB7862" w:rsidP="00EC0818"/>
    <w:sectPr w:rsidR="00BB7862" w:rsidSect="00DF66CC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40CAD"/>
    <w:multiLevelType w:val="hybridMultilevel"/>
    <w:tmpl w:val="F3186720"/>
    <w:lvl w:ilvl="0" w:tplc="B3542C18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C82BA3"/>
    <w:rsid w:val="0003043E"/>
    <w:rsid w:val="00056504"/>
    <w:rsid w:val="00072A8B"/>
    <w:rsid w:val="00096F8F"/>
    <w:rsid w:val="000B0E41"/>
    <w:rsid w:val="000C68AE"/>
    <w:rsid w:val="001078CF"/>
    <w:rsid w:val="00184CF3"/>
    <w:rsid w:val="00186C6C"/>
    <w:rsid w:val="001A7774"/>
    <w:rsid w:val="001F19B2"/>
    <w:rsid w:val="001F59F5"/>
    <w:rsid w:val="002A6A58"/>
    <w:rsid w:val="002A7279"/>
    <w:rsid w:val="00304BA5"/>
    <w:rsid w:val="0033438F"/>
    <w:rsid w:val="00340E57"/>
    <w:rsid w:val="00390ABD"/>
    <w:rsid w:val="00396FDF"/>
    <w:rsid w:val="003B0212"/>
    <w:rsid w:val="00401A94"/>
    <w:rsid w:val="004073BD"/>
    <w:rsid w:val="00490098"/>
    <w:rsid w:val="005B1908"/>
    <w:rsid w:val="00610E2E"/>
    <w:rsid w:val="006344C7"/>
    <w:rsid w:val="00636C22"/>
    <w:rsid w:val="00672DDC"/>
    <w:rsid w:val="00687A27"/>
    <w:rsid w:val="006A3EC4"/>
    <w:rsid w:val="006B3A75"/>
    <w:rsid w:val="006D7E01"/>
    <w:rsid w:val="006F5EDB"/>
    <w:rsid w:val="007201E1"/>
    <w:rsid w:val="007938EC"/>
    <w:rsid w:val="007C76A5"/>
    <w:rsid w:val="007F109E"/>
    <w:rsid w:val="007F3BBD"/>
    <w:rsid w:val="00823243"/>
    <w:rsid w:val="00827F53"/>
    <w:rsid w:val="008607BC"/>
    <w:rsid w:val="00877700"/>
    <w:rsid w:val="008E30A0"/>
    <w:rsid w:val="00925920"/>
    <w:rsid w:val="009350D6"/>
    <w:rsid w:val="00950409"/>
    <w:rsid w:val="0097707E"/>
    <w:rsid w:val="00990392"/>
    <w:rsid w:val="009E148B"/>
    <w:rsid w:val="00A16F09"/>
    <w:rsid w:val="00A754AE"/>
    <w:rsid w:val="00A81B0A"/>
    <w:rsid w:val="00A839E7"/>
    <w:rsid w:val="00AA11A6"/>
    <w:rsid w:val="00AE3D58"/>
    <w:rsid w:val="00BB7862"/>
    <w:rsid w:val="00BD24C3"/>
    <w:rsid w:val="00BE6DD3"/>
    <w:rsid w:val="00C02E78"/>
    <w:rsid w:val="00C5011B"/>
    <w:rsid w:val="00C61430"/>
    <w:rsid w:val="00C82BA3"/>
    <w:rsid w:val="00CB743C"/>
    <w:rsid w:val="00CB74D0"/>
    <w:rsid w:val="00D110AB"/>
    <w:rsid w:val="00DB7F94"/>
    <w:rsid w:val="00DC0A92"/>
    <w:rsid w:val="00DF66CC"/>
    <w:rsid w:val="00E8088C"/>
    <w:rsid w:val="00EB5CF6"/>
    <w:rsid w:val="00EC0818"/>
    <w:rsid w:val="00EC6694"/>
    <w:rsid w:val="00F07E66"/>
    <w:rsid w:val="00F8342C"/>
    <w:rsid w:val="00FA6141"/>
    <w:rsid w:val="00FC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nhideWhenUsed/>
    <w:rsid w:val="00C82BA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82B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82BA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BA3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2B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2BA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nhideWhenUsed/>
    <w:rsid w:val="00C82BA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82B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82BA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BA3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2B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2B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9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1185</Words>
  <Characters>6761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Teresa Moutinho</dc:creator>
  <cp:lastModifiedBy>ATM</cp:lastModifiedBy>
  <cp:revision>5</cp:revision>
  <dcterms:created xsi:type="dcterms:W3CDTF">2015-07-01T10:43:00Z</dcterms:created>
  <dcterms:modified xsi:type="dcterms:W3CDTF">2015-08-14T09:03:00Z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-2115288653</vt:i4>
  </property>
  <property fmtid="{D5CDD505-2E9C-101B-9397-08002B2CF9AE}" pid="4" name="_EmailSubject">
    <vt:lpwstr>files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ReviewingToolsShownOnce">
    <vt:lpwstr/>
  </property>
</Properties>
</file>